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129E" w14:textId="77777777" w:rsidR="002B070A" w:rsidRDefault="0050273B">
      <w:pPr>
        <w:spacing w:after="0"/>
        <w:ind w:left="595" w:hanging="10"/>
      </w:pPr>
      <w:r>
        <w:rPr>
          <w:rFonts w:ascii="Arial" w:eastAsia="Arial" w:hAnsi="Arial" w:cs="Arial"/>
          <w:b/>
          <w:color w:val="0000CD"/>
          <w:sz w:val="28"/>
        </w:rPr>
        <w:t xml:space="preserve">ПРЕДПИСАНИЯ ОРГАНОВ, ОСУЩЕСТВЛЯЮЩИХ </w:t>
      </w:r>
    </w:p>
    <w:p w14:paraId="744823E4" w14:textId="77777777" w:rsidR="002B070A" w:rsidRDefault="0050273B">
      <w:pPr>
        <w:spacing w:after="0"/>
        <w:ind w:left="595" w:hanging="10"/>
      </w:pPr>
      <w:r>
        <w:rPr>
          <w:rFonts w:ascii="Arial" w:eastAsia="Arial" w:hAnsi="Arial" w:cs="Arial"/>
          <w:b/>
          <w:color w:val="0000CD"/>
          <w:sz w:val="28"/>
        </w:rPr>
        <w:t xml:space="preserve">ГОСУДАРСТВЕННЫЙ КОНТРОЛЬ (НАДЗОР)/ ОТЧЕТЫ ОБ </w:t>
      </w:r>
    </w:p>
    <w:p w14:paraId="0E95E2A2" w14:textId="77777777" w:rsidR="002B070A" w:rsidRDefault="0050273B">
      <w:pPr>
        <w:spacing w:after="215"/>
        <w:ind w:left="595" w:hanging="10"/>
      </w:pPr>
      <w:r>
        <w:rPr>
          <w:rFonts w:ascii="Arial" w:eastAsia="Arial" w:hAnsi="Arial" w:cs="Arial"/>
          <w:b/>
          <w:color w:val="0000CD"/>
          <w:sz w:val="28"/>
        </w:rPr>
        <w:t>ИСПОЛНЕНИИ ПРЕДПИСАНИЙ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41D9F" w14:textId="77777777" w:rsidR="002B070A" w:rsidRDefault="0050273B">
      <w:pPr>
        <w:spacing w:after="2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911C27" w14:textId="77777777" w:rsidR="002B070A" w:rsidRDefault="0050273B">
      <w:pPr>
        <w:spacing w:after="308"/>
      </w:pPr>
      <w:hyperlink r:id="rId4">
        <w:r>
          <w:rPr>
            <w:rFonts w:ascii="Arial" w:eastAsia="Arial" w:hAnsi="Arial" w:cs="Arial"/>
            <w:b/>
            <w:color w:val="0000CD"/>
            <w:sz w:val="24"/>
            <w:u w:val="single" w:color="0000CD"/>
          </w:rPr>
          <w:t>Сведения</w:t>
        </w:r>
      </w:hyperlink>
      <w:hyperlink r:id="rId5">
        <w:r>
          <w:rPr>
            <w:rFonts w:ascii="Arial" w:eastAsia="Arial" w:hAnsi="Arial" w:cs="Arial"/>
            <w:b/>
            <w:color w:val="0000CD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о проведенных контрольных мероприятиях и их результатах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F1D144" w14:textId="77777777" w:rsidR="002B070A" w:rsidRDefault="0050273B">
      <w:pPr>
        <w:spacing w:after="24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24B6FB5" wp14:editId="73092FF8">
                <wp:extent cx="5941822" cy="20320"/>
                <wp:effectExtent l="0" t="0" r="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2" cy="20320"/>
                          <a:chOff x="0" y="0"/>
                          <a:chExt cx="5941822" cy="20320"/>
                        </a:xfrm>
                      </wpg:grpSpPr>
                      <wps:wsp>
                        <wps:cNvPr id="642" name="Shape 642"/>
                        <wps:cNvSpPr/>
                        <wps:spPr>
                          <a:xfrm>
                            <a:off x="0" y="0"/>
                            <a:ext cx="59404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0320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51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99" y="508"/>
                            <a:ext cx="593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726" h="9144">
                                <a:moveTo>
                                  <a:pt x="0" y="0"/>
                                </a:moveTo>
                                <a:lnTo>
                                  <a:pt x="5935726" y="0"/>
                                </a:lnTo>
                                <a:lnTo>
                                  <a:pt x="593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38774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51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5938774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51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3099" y="17272"/>
                            <a:ext cx="593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726" h="9144">
                                <a:moveTo>
                                  <a:pt x="0" y="0"/>
                                </a:moveTo>
                                <a:lnTo>
                                  <a:pt x="5935726" y="0"/>
                                </a:lnTo>
                                <a:lnTo>
                                  <a:pt x="593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938774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" style="width:467.86pt;height:1.59998pt;mso-position-horizontal-relative:char;mso-position-vertical-relative:line" coordsize="59418,203">
                <v:shape id="Shape 651" style="position:absolute;width:59404;height:203;left:0;top:0;" coordsize="5940425,20320" path="m0,0l5940425,0l5940425,20320l0,20320l0,0">
                  <v:stroke weight="0pt" endcap="flat" joinstyle="miter" miterlimit="10" on="false" color="#000000" opacity="0"/>
                  <v:fill on="true" color="#a0a0a0"/>
                </v:shape>
                <v:shape id="Shape 652" style="position:absolute;width:91;height:91;left:0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653" style="position:absolute;width:59357;height:91;left:30;top:5;" coordsize="5935726,9144" path="m0,0l5935726,0l5935726,9144l0,9144l0,0">
                  <v:stroke weight="0pt" endcap="flat" joinstyle="miter" miterlimit="10" on="false" color="#000000" opacity="0"/>
                  <v:fill on="true" color="#a0a0a0"/>
                </v:shape>
                <v:shape id="Shape 654" style="position:absolute;width:91;height:91;left:59387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655" style="position:absolute;width:91;height:137;left:0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656" style="position:absolute;width:91;height:137;left:59387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657" style="position:absolute;width:91;height:91;left:0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658" style="position:absolute;width:59357;height:91;left:30;top:172;" coordsize="5935726,9144" path="m0,0l5935726,0l5935726,9144l0,9144l0,0">
                  <v:stroke weight="0pt" endcap="flat" joinstyle="miter" miterlimit="10" on="false" color="#000000" opacity="0"/>
                  <v:fill on="true" color="#e3e3e3"/>
                </v:shape>
                <v:shape id="Shape 659" style="position:absolute;width:91;height:91;left:59387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F61A63" w14:textId="77777777" w:rsidR="002B070A" w:rsidRDefault="0050273B">
      <w:pPr>
        <w:spacing w:after="262"/>
        <w:ind w:left="-5" w:hanging="10"/>
      </w:pPr>
      <w:r>
        <w:rPr>
          <w:rFonts w:ascii="Arial" w:eastAsia="Arial" w:hAnsi="Arial" w:cs="Arial"/>
          <w:b/>
          <w:color w:val="0000CD"/>
          <w:sz w:val="24"/>
        </w:rPr>
        <w:t>Генеральная прокуратура РФ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F0508" w14:textId="77777777" w:rsidR="002B070A" w:rsidRDefault="0050273B">
      <w:pPr>
        <w:spacing w:after="259"/>
      </w:pPr>
      <w:r>
        <w:rPr>
          <w:rFonts w:ascii="Arial" w:eastAsia="Arial" w:hAnsi="Arial" w:cs="Arial"/>
          <w:b/>
          <w:color w:val="0000CD"/>
          <w:sz w:val="24"/>
        </w:rPr>
        <w:t>ФГИС «</w:t>
      </w:r>
      <w:hyperlink r:id="rId6">
        <w:r>
          <w:rPr>
            <w:rFonts w:ascii="Arial" w:eastAsia="Arial" w:hAnsi="Arial" w:cs="Arial"/>
            <w:b/>
            <w:color w:val="0000CD"/>
            <w:sz w:val="24"/>
            <w:u w:val="single" w:color="0000CD"/>
          </w:rPr>
          <w:t>Единый реестр проверок</w:t>
        </w:r>
      </w:hyperlink>
      <w:hyperlink r:id="rId7">
        <w:r>
          <w:rPr>
            <w:rFonts w:ascii="Arial" w:eastAsia="Arial" w:hAnsi="Arial" w:cs="Arial"/>
            <w:b/>
            <w:color w:val="0000CD"/>
            <w:sz w:val="24"/>
          </w:rPr>
          <w:t>»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50DF2B" w14:textId="77777777" w:rsidR="002B070A" w:rsidRDefault="0050273B">
      <w:pPr>
        <w:spacing w:after="305" w:line="252" w:lineRule="auto"/>
        <w:ind w:left="595" w:right="48" w:hanging="10"/>
        <w:jc w:val="both"/>
      </w:pPr>
      <w:r>
        <w:rPr>
          <w:rFonts w:ascii="Arial" w:eastAsia="Arial" w:hAnsi="Arial" w:cs="Arial"/>
          <w:color w:val="222222"/>
          <w:sz w:val="24"/>
        </w:rPr>
        <w:t>Единый реестр проверок содержит информацию о плановых и внеплановых проверках юридических лиц и индивидуальных предпринимателей, проводимых в соответствии с Федеральным законом «О защите прав юридич</w:t>
      </w:r>
      <w:r>
        <w:rPr>
          <w:rFonts w:ascii="Arial" w:eastAsia="Arial" w:hAnsi="Arial" w:cs="Arial"/>
          <w:color w:val="222222"/>
          <w:sz w:val="24"/>
        </w:rPr>
        <w:t>еских лиц и индивидуальных предпринимателей при осуществлении государственного контроля (надзора) и муниципального контроля», иными федеральными законами, устанавливающими особенности организации и проведения проверок, и их результатах.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8E5799" w14:textId="77777777" w:rsidR="002B070A" w:rsidRDefault="0050273B">
      <w:pPr>
        <w:spacing w:after="262"/>
        <w:ind w:left="-5" w:hanging="10"/>
      </w:pPr>
      <w:r>
        <w:rPr>
          <w:rFonts w:ascii="Arial" w:eastAsia="Arial" w:hAnsi="Arial" w:cs="Arial"/>
          <w:b/>
          <w:color w:val="0000CD"/>
          <w:sz w:val="24"/>
        </w:rPr>
        <w:t>Реквизиты образова</w:t>
      </w:r>
      <w:r>
        <w:rPr>
          <w:rFonts w:ascii="Arial" w:eastAsia="Arial" w:hAnsi="Arial" w:cs="Arial"/>
          <w:b/>
          <w:color w:val="0000CD"/>
          <w:sz w:val="24"/>
        </w:rPr>
        <w:t>тельной организации для поиска в реестре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C386C3" w14:textId="71AFDD49" w:rsidR="002B070A" w:rsidRDefault="0050273B">
      <w:pPr>
        <w:spacing w:after="260" w:line="252" w:lineRule="auto"/>
        <w:ind w:left="595" w:right="48" w:hanging="10"/>
        <w:jc w:val="both"/>
      </w:pPr>
      <w:r>
        <w:rPr>
          <w:rFonts w:ascii="Arial" w:eastAsia="Arial" w:hAnsi="Arial" w:cs="Arial"/>
          <w:b/>
          <w:color w:val="0000CD"/>
          <w:sz w:val="24"/>
        </w:rPr>
        <w:t>ИНН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 w:rsidRPr="0050273B">
        <w:rPr>
          <w:rFonts w:ascii="Arial" w:eastAsia="Arial" w:hAnsi="Arial" w:cs="Arial"/>
          <w:color w:val="222222"/>
          <w:sz w:val="24"/>
        </w:rPr>
        <w:t>0506063647</w:t>
      </w:r>
    </w:p>
    <w:p w14:paraId="0715BC30" w14:textId="5B26D2A3" w:rsidR="002B070A" w:rsidRDefault="0050273B">
      <w:pPr>
        <w:spacing w:after="260" w:line="252" w:lineRule="auto"/>
        <w:ind w:left="595" w:right="48" w:hanging="10"/>
        <w:jc w:val="both"/>
      </w:pPr>
      <w:r>
        <w:rPr>
          <w:rFonts w:ascii="Arial" w:eastAsia="Arial" w:hAnsi="Arial" w:cs="Arial"/>
          <w:b/>
          <w:color w:val="0000CD"/>
          <w:sz w:val="24"/>
        </w:rPr>
        <w:t>ОГРН</w:t>
      </w:r>
      <w:r>
        <w:rPr>
          <w:rFonts w:ascii="Arial" w:eastAsia="Arial" w:hAnsi="Arial" w:cs="Arial"/>
          <w:color w:val="0000CD"/>
          <w:sz w:val="24"/>
        </w:rPr>
        <w:t xml:space="preserve"> </w:t>
      </w:r>
      <w:r w:rsidRPr="0050273B">
        <w:rPr>
          <w:rFonts w:ascii="Arial" w:eastAsia="Arial" w:hAnsi="Arial" w:cs="Arial"/>
          <w:color w:val="0000CD"/>
          <w:sz w:val="24"/>
        </w:rPr>
        <w:t>1060506001841</w:t>
      </w:r>
      <w:r>
        <w:rPr>
          <w:rFonts w:ascii="Arial" w:eastAsia="Arial" w:hAnsi="Arial" w:cs="Arial"/>
          <w:color w:val="0000CD"/>
          <w:sz w:val="24"/>
        </w:rPr>
        <w:t xml:space="preserve"> </w:t>
      </w:r>
    </w:p>
    <w:p w14:paraId="67E12CA4" w14:textId="77777777" w:rsidR="002B070A" w:rsidRDefault="0050273B">
      <w:pPr>
        <w:spacing w:after="2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7A7A0D" w14:textId="77777777" w:rsidR="002B070A" w:rsidRDefault="0050273B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A922D6" w14:textId="77777777" w:rsidR="002B070A" w:rsidRDefault="0050273B">
      <w:pPr>
        <w:spacing w:after="126" w:line="246" w:lineRule="auto"/>
      </w:pPr>
      <w:r>
        <w:rPr>
          <w:rFonts w:ascii="Arial" w:eastAsia="Arial" w:hAnsi="Arial" w:cs="Arial"/>
          <w:color w:val="222222"/>
        </w:rPr>
        <w:t xml:space="preserve">На текущий момент информации о мероприятиях по контролю органами, осуществляющими государственный контроль (надзор) в сфере образования, а также о предписаниях и их исполнении, </w:t>
      </w:r>
      <w:r>
        <w:rPr>
          <w:rFonts w:ascii="Arial" w:eastAsia="Arial" w:hAnsi="Arial" w:cs="Arial"/>
          <w:b/>
          <w:color w:val="0070C0"/>
        </w:rPr>
        <w:t>нет.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AA249D" w14:textId="77777777" w:rsidR="002B070A" w:rsidRDefault="0050273B">
      <w:pPr>
        <w:spacing w:after="0"/>
      </w:pPr>
      <w:r>
        <w:t xml:space="preserve"> </w:t>
      </w:r>
    </w:p>
    <w:sectPr w:rsidR="002B070A">
      <w:pgSz w:w="11906" w:h="16838"/>
      <w:pgMar w:top="1440" w:right="78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0A"/>
    <w:rsid w:val="002B070A"/>
    <w:rsid w:val="0050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5FD"/>
  <w15:docId w15:val="{9A11CF9F-0CA8-4E32-84EE-4D2D581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verki.gov.ru/wps/portal/!ut/p/z1/hY7NCoJQEEafpYXbO-N_tbsWGKYZBWWzCQVTS71yU6O3T2gVWH27mTln-IAgAqrjvsjithB1XA7ziayzr1qaa6AahPvtAvnyYPumF2i4NuD4D6DhjF_CcfAJfhM08oKjs9McHdENNdisRJWCB5SVInl35nWiTzMgmV5SmUrWyWGdt20zV1BB22byVrNM9Ex2CjbqTDcNBcfEXNxbiD4EaKoIrwYlzwefvABu3nQp/dz/d5/L2dBISEvZ0FBIS9nQSE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verki.gov.ru/wps/portal/!ut/p/z1/hY7NCoJQEEafpYXbO-N_tbsWGKYZBWWzCQVTS71yU6O3T2gVWH27mTln-IAgAqrjvsjithB1XA7ziayzr1qaa6AahPvtAvnyYPumF2i4NuD4D6DhjF_CcfAJfhM08oKjs9McHdENNdisRJWCB5SVInl35nWiTzMgmV5SmUrWyWGdt20zV1BB22byVrNM9Ex2CjbqTDcNBcfEXNxbiD4EaKoIrwYlzwefvABu3nQp/dz/d5/L2dBISEvZ0FBIS9nQSEh/" TargetMode="External"/><Relationship Id="rId5" Type="http://schemas.openxmlformats.org/officeDocument/2006/relationships/hyperlink" Target="https://bus.gov.ru/agency/172438/measures" TargetMode="External"/><Relationship Id="rId4" Type="http://schemas.openxmlformats.org/officeDocument/2006/relationships/hyperlink" Target="https://bus.gov.ru/agency/172438/measur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Гиназия 2</dc:creator>
  <cp:keywords/>
  <cp:lastModifiedBy>Луиза Алиева</cp:lastModifiedBy>
  <cp:revision>2</cp:revision>
  <dcterms:created xsi:type="dcterms:W3CDTF">2023-04-05T19:59:00Z</dcterms:created>
  <dcterms:modified xsi:type="dcterms:W3CDTF">2023-04-05T19:59:00Z</dcterms:modified>
</cp:coreProperties>
</file>